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Челюстно-лицевая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03:24 МСК · База обновлена: 27.08.2026, 20:37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Челюстно-лицевая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29 лет обратилась в клинику ЧЛХ.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пульсирующие боли в области щечной области,</w:t>
      </w:r>
    </w:p>
    <w:p>
      <w:pPr>
        <w:spacing w:after="58"/>
      </w:pPr>
      <w:r>
        <w:rPr>
          <w:b w:val="0"/>
          <w:i w:val="0"/>
        </w:rPr>
        <w:t>* снижение аппетита,</w:t>
      </w:r>
    </w:p>
    <w:p>
      <w:pPr>
        <w:spacing w:after="58"/>
      </w:pPr>
      <w:r>
        <w:rPr>
          <w:b w:val="0"/>
          <w:i w:val="0"/>
        </w:rPr>
        <w:t>* повышение температуры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больной, 5 дней назад расковыряла акнэ в щечной области справа, через день появились боли в данной области, гиперемия и отек. Отмечала подъем температуры тела до субфебрильных цифр, за помощью не обращалась, состояние начало ухудшаться. Кожа стала сине-багрового цвета, температура тела повышенная, стойкая.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полу и возрасту.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66 кг, рост 171 см. Температура тела 38,0 ºС.</w:t>
        <w:br/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18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18 уд в мин. Ро2 98%.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75 ударов в минуту, АД 110/75 мм.рт.ст.</w:t>
      </w:r>
    </w:p>
    <w:p>
      <w:pPr>
        <w:spacing w:after="58"/>
      </w:pPr>
      <w:r>
        <w:rPr>
          <w:b w:val="0"/>
          <w:i w:val="0"/>
        </w:rPr>
        <w:t>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spacing w:after="58"/>
      </w:pPr>
      <w:r>
        <w:rPr>
          <w:b w:val="0"/>
          <w:i w:val="0"/>
        </w:rPr>
        <w:t>Объективно: больная контактна, в пространстве и времени ориентируется.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данном заболевании особое внимание надо уделять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возрасту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наличию акнэ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регионарным лимфатическим узлам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кариозным полостям зубов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регионарным лимфатическим узлам</w:t>
      </w:r>
    </w:p>
    <w:p>
      <w:pPr>
        <w:spacing w:after="58"/>
      </w:pPr>
      <w:r>
        <w:rPr>
          <w:b w:val="0"/>
          <w:i w:val="0"/>
        </w:rPr>
        <w:t>Обследование регионарных лимфатических узлов дополняет клиническую картину для выявления диагноза, а также позволяет оценить реактивные силы организма.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– 3-е изд. , перераб. – Москва : ГЭОТАР-Медиа, 2019. – 400 с. : ил. – 400 с.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методом обследования воспалительного очага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лабораторный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рентгенологический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клинический</w:t>
      </w:r>
    </w:p>
    <w:p>
      <w:pPr>
        <w:spacing w:after="58"/>
      </w:pPr>
      <w:r>
        <w:rPr>
          <w:b w:val="0"/>
          <w:i w:val="0"/>
        </w:rPr>
        <w:t>Клиническое обследование состоит из сбора жалоб, анамнеза заболевания, осмотра и пальпации челюстно-лицевой области.</w:t>
        <w:br/>
        <w:t>Анализ полученных данных позволяет судить о сути патологического процесса, его закономерностях, прогнозировании лечения заболевания.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- 3-е изд. , перераб. - Москва : ГЭОТАР-Медиа, 2019. - 400 с. : ил. - 400 с.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Перед выбором тактики лечения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пункцию инфильтрата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УЗДГ вен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электрокардиограмму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общий анализ крови</w:t>
      </w:r>
    </w:p>
    <w:p>
      <w:pPr>
        <w:spacing w:after="58"/>
      </w:pPr>
      <w:r>
        <w:rPr>
          <w:b w:val="0"/>
          <w:i w:val="0"/>
        </w:rPr>
        <w:t>Позволяет выявить степень выраженности воспалительных явлений и общих реактивных сил организма для борьбы с данной патологией комбинированно с помощью фармакотерапии.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– Москва : ГЭОТАР-Медиа, 2019. – 692 с. (Серия «Национальные руководства»)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Предполагаемым основным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Абсцесс правой щечной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Карбункул правой щечной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Фурункул правой щечной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Флегмона правой околоушной области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Карбункул правой щечной области</w:t>
      </w:r>
    </w:p>
    <w:p>
      <w:pPr>
        <w:spacing w:after="58"/>
      </w:pPr>
      <w:r>
        <w:rPr>
          <w:b w:val="0"/>
          <w:i w:val="0"/>
        </w:rPr>
        <w:t>Анамнез больного, клиническая картина позволяют думать о карбункуле правой щечной области.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– 3-е изд. , перераб. – Москва : ГЭОТАР-Медиа, 2019. – 400 с. : ил. – 400 с.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Дальнейшее обследование и лечение пациентки должно проводиться в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стационара челюстно-лицевой хирургии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стационара поликлинического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стационара диспансерного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дому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стационара челюстно-лицевой хирургии</w:t>
      </w:r>
    </w:p>
    <w:p>
      <w:pPr>
        <w:spacing w:after="58"/>
      </w:pPr>
      <w:r>
        <w:rPr>
          <w:b w:val="0"/>
          <w:i w:val="0"/>
        </w:rPr>
        <w:t>Заболевание носит острый характер, для предотвращения возникновения осложнений пациенту показано оперативное вмешательство, которое должно быть выполнено в условиях специализированного стационара.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- 3-е изд. , перераб. - Москва : ГЭОТАР-Медиа, 2019. - 400 с. : ил. - 400 с.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Пациентке показано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консервативное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химиотерапевтическое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(оперативное)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хирургическое (оперативное)</w:t>
      </w:r>
    </w:p>
    <w:p>
      <w:pPr>
        <w:spacing w:after="58"/>
      </w:pPr>
      <w:r>
        <w:rPr>
          <w:b w:val="0"/>
          <w:i w:val="0"/>
        </w:rPr>
        <w:t>Для эвакуации гнойного экссудата требуется вскрытие инфильтрата и его дренирование.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– 3-е изд. , перераб. – Москва : ГЭОТАР-Медиа, 2019. – 400 с. : ил. – 400 с.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Пациентке показано оперативное вмешательство в объеме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вскрытия инфильтрата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пункции инфильтрата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биопсии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вскрытия инфильтрата</w:t>
      </w:r>
    </w:p>
    <w:p>
      <w:pPr>
        <w:spacing w:after="58"/>
      </w:pPr>
      <w:r>
        <w:rPr>
          <w:b w:val="0"/>
          <w:i w:val="0"/>
        </w:rPr>
        <w:t>Вскрытие очага воспаления и дренирование приведет к оттоку гнойного экссудата и к стиханию воспалительных явлений.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- 3-е изд. , перераб. - Москва : ГЭОТАР-Медиа, 2019. - 400 с. : ил. - 400 с.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Группой препаратов, обязательно используемых при лечении гнойных заболеваний ЧЛО,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антибиотики широкого спектра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гомеопатические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гормоны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антибиотики широкого спектра действия</w:t>
      </w:r>
    </w:p>
    <w:p>
      <w:pPr>
        <w:spacing w:after="58"/>
      </w:pPr>
      <w:r>
        <w:rPr>
          <w:b w:val="0"/>
          <w:i w:val="0"/>
        </w:rPr>
        <w:t>Возбудителями являются золотистый стафилококк и стрептококк. Для устранения этиологического фактора и профилактики дальнейших осложнений рекомендовано использование антибиотиков широкого спектра действия в комбинации с хирургическим лечением.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– Москва : ГЭОТАР-Медиа, 2019. – 692 с. (Серия «Национальные руководства»)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Группой препаратов, используемых для десенсибилизации при данной патологии,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бактериофаги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антигистаминные средства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антигистаминные средства</w:t>
      </w:r>
    </w:p>
    <w:p>
      <w:pPr>
        <w:spacing w:after="58"/>
      </w:pPr>
      <w:r>
        <w:rPr>
          <w:b w:val="0"/>
          <w:i w:val="0"/>
        </w:rPr>
        <w:t>Данная патология является в первую очередь инфекционно-аллергическим процессом. Для устранения аллергической реакции организма на иммуноглобулин G, рекомендовано использование антигистаминных препаратов.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- 3-е изд. , перераб. - Москва : ГЭОТАР-Медиа, 2019. - 400 с. : ил. - 400 с.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Группой препаратов, используемых для снижения воспалительных явлений при данной патологии,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гормоны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антибиотики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противомикробные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нестероидные противовоспалительные средства</w:t>
      </w:r>
    </w:p>
    <w:p>
      <w:pPr>
        <w:spacing w:after="58"/>
      </w:pPr>
      <w:r>
        <w:rPr>
          <w:b w:val="0"/>
          <w:i w:val="0"/>
        </w:rPr>
        <w:t>Обладают противовоспалительным действием за счет угнетения синтеза простагландинов и обезболивающим эффектом за счет сенсибилизации рецепторов к медиаторам боли.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 оперативного вмешательства, местно применяются антисептические повязки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актовегином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гепарином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мазью «Левомеколь»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гидрокортизоном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мазью «Левомеколь»</w:t>
      </w:r>
    </w:p>
    <w:p>
      <w:pPr>
        <w:spacing w:after="58"/>
      </w:pPr>
      <w:r>
        <w:rPr>
          <w:b w:val="0"/>
          <w:i w:val="0"/>
        </w:rPr>
        <w:t>Местная антисептическая и противомикробная обработка ускоряет процесс снижения воспалительных явлений.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– Москва : ГЭОТАР-Медиа, 2019. – 692 с. (Серия «Национальные руководства»)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очевидным факторам развития данного заболевания у пациентки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сопутствующие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вредные привычки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инфицирование кожи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инфицирование кожи</w:t>
      </w:r>
    </w:p>
    <w:p>
      <w:pPr>
        <w:spacing w:after="58"/>
      </w:pPr>
      <w:r>
        <w:rPr>
          <w:b w:val="0"/>
          <w:i w:val="0"/>
        </w:rPr>
        <w:t>проникновением инфекции в клетчаточное пространство.</w:t>
      </w:r>
    </w:p>
    <w:p>
      <w:pPr>
        <w:spacing w:after="58"/>
      </w:pPr>
      <w:r>
        <w:rPr>
          <w:b w:val="0"/>
          <w:i w:val="0"/>
        </w:rPr>
        <w:t>Хирургическая стоматология : учебник / В. В. Афанасьев [и др. ]; под общ. Ред. В. В. Афанасьева. – 3-е изд. , перераб. – Москва : ГЭОТАР-Медиа, 2019. – 400 с. : ил. – 400 с.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(2)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Челюстно-лицевая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клинику челюстно-лицевой хирургии обратился пациент Ю. 28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резко болезненной припухлости в области подбородка;</w:t>
      </w:r>
    </w:p>
    <w:p>
      <w:pPr>
        <w:spacing w:after="58"/>
      </w:pPr>
      <w:r>
        <w:rPr>
          <w:b w:val="0"/>
          <w:i w:val="0"/>
        </w:rPr>
        <w:t>* общую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Считает себя больным в течение последних 2 дней, когда при бритье травмировал гнойник на коже.</w:t>
      </w:r>
    </w:p>
    <w:p>
      <w:pPr>
        <w:spacing w:after="58"/>
      </w:pPr>
      <w:r>
        <w:rPr>
          <w:b w:val="0"/>
          <w:i w:val="0"/>
        </w:rPr>
        <w:t>* Самостоятельно не лечился.</w:t>
      </w:r>
    </w:p>
    <w:p>
      <w:pPr>
        <w:spacing w:after="58"/>
      </w:pPr>
      <w:r>
        <w:rPr>
          <w:b w:val="0"/>
          <w:i w:val="0"/>
        </w:rPr>
        <w:t>* Обратился в поликлинику по месту жительства, был направлен в клинику челюстно-лицевой хирургии.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Аллергическую реакцию на лекарственные препараты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степени тяжести. Больной малоактивен, температура тела 37,7℃.</w:t>
      </w:r>
    </w:p>
    <w:p>
      <w:pPr>
        <w:spacing w:after="58"/>
      </w:pPr>
      <w:r>
        <w:rPr>
          <w:b w:val="0"/>
          <w:i w:val="0"/>
        </w:rPr>
        <w:t>В подбородочной области определяется резко гиперемированный и болезненный инфильтрат размером 1,0×1,5 см. В центре инфильтрата – гнойная пустула размером 0,1×0,1 см. Прилежащие ткани и нижняя губа отёчны.</w:t>
      </w:r>
    </w:p>
    <w:p>
      <w:pPr>
        <w:spacing w:after="58"/>
      </w:pPr>
      <w:r>
        <w:rPr>
          <w:b w:val="0"/>
          <w:i w:val="0"/>
        </w:rPr>
        <w:t>Регионарные лимфатические узлы болезненны, увеличены, подвижны.</w:t>
      </w:r>
    </w:p>
    <w:p>
      <w:pPr>
        <w:spacing w:after="58"/>
      </w:pPr>
      <w:r>
        <w:rPr>
          <w:b/>
          <w:i w:val="0"/>
        </w:rPr>
        <w:t>Зубная формула: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</w:tblGrid>
      <w:tr>
        <w:trPr>
          <w:tblHeader w:val="true"/>
        </w:trPr>
        <w:tc>
          <w:tcPr>
            <w:tcW w:type="dxa" w:w="632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/>
                <w:i w:val="0"/>
              </w:rPr>
              <w:t>П,С</w:t>
            </w:r>
          </w:p>
        </w:tc>
        <w:tc>
          <w:tcPr>
            <w:tcW w:type="dxa" w:w="632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/>
                <w:i w:val="0"/>
              </w:rPr>
              <w:t>П,С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/>
                <w:i w:val="0"/>
              </w:rPr>
              <w:t>0</w:t>
            </w:r>
          </w:p>
        </w:tc>
      </w:tr>
      <w:tr>
        <w:tc>
          <w:tcPr>
            <w:tcW w:type="dxa" w:w="632"/>
          </w:tcPr>
          <w:p>
            <w:r>
              <w:rPr>
                <w:b w:val="0"/>
                <w:i w:val="0"/>
              </w:rPr>
              <w:t>1.8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1.7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2.6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2.7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2.8</w:t>
            </w:r>
          </w:p>
        </w:tc>
      </w:tr>
      <w:tr>
        <w:tc>
          <w:tcPr>
            <w:tcW w:type="dxa" w:w="632"/>
          </w:tcPr>
          <w:p>
            <w:r>
              <w:rPr>
                <w:b w:val="0"/>
                <w:i w:val="0"/>
              </w:rPr>
              <w:t>4.8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4.7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3.8</w:t>
            </w:r>
          </w:p>
        </w:tc>
      </w:tr>
      <w:tr>
        <w:tc>
          <w:tcPr>
            <w:tcW w:type="dxa" w:w="632"/>
          </w:tcPr>
          <w:p>
            <w:r>
              <w:rPr>
                <w:b w:val="0"/>
                <w:i w:val="0"/>
              </w:rPr>
              <w:t>0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Pt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0</w:t>
            </w:r>
          </w:p>
        </w:tc>
      </w:tr>
    </w:tbl>
    <w:p/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инструментальным методом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ортопантомограмма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реография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ортопантомограмма</w:t>
      </w:r>
    </w:p>
    <w:p>
      <w:pPr>
        <w:spacing w:after="58"/>
      </w:pPr>
      <w:r>
        <w:rPr>
          <w:b w:val="0"/>
          <w:i w:val="0"/>
        </w:rPr>
        <w:t>Для первичной диагностики одонтогенных воспалительных процессов наиболее эффективна ортопантомография.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Основным диагнозом пациента является </w:t>
      </w:r>
      <w:r>
        <w:rPr>
          <w:b w:val="0"/>
          <w:i w:val="0"/>
        </w:rPr>
        <w:t>___________________</w:t>
      </w:r>
      <w:r>
        <w:rPr>
          <w:b w:val="0"/>
          <w:i w:val="0"/>
        </w:rPr>
        <w:t xml:space="preserve"> подбородочной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лимфаденит лица, головы и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Абсцесс кожи, фурункул и карбункул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Воспалительные заболевания челюстей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Флегмона и абсцесс области рта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Абсцесс кожи, фурункул и карбункул лица</w:t>
      </w:r>
    </w:p>
    <w:p>
      <w:pPr>
        <w:spacing w:after="58"/>
      </w:pPr>
      <w:r>
        <w:rPr>
          <w:b w:val="0"/>
          <w:i w:val="0"/>
        </w:rPr>
        <w:t>На основе комплексного анализа жалоб, анамнеза болезни и жизни, оценки функционального состояния организма и сопутствующих заболеваний, комплексного изучения местной симптоматики, а также результатов диагностических исследований врач мысленно создаёт общую картину болезни.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Дифференциальную диагностику в данной клинической ситуации необходимо провести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псориазом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атеромой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липомой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сибирской язвой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сибирской язвой</w:t>
      </w:r>
    </w:p>
    <w:p>
      <w:pPr>
        <w:spacing w:after="58"/>
      </w:pPr>
      <w:r>
        <w:rPr>
          <w:b w:val="0"/>
          <w:i w:val="0"/>
        </w:rPr>
        <w:t>Фурункул следует дифференцировать от сибирской язвы. Диагноз сибирской язвы устанавливают при нахождении сибиреязвенной бациллы.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Обязательным исследованием при фурункуле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расширенная биопсия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бактериологическое исследование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бактериологическое исследование</w:t>
      </w:r>
    </w:p>
    <w:p>
      <w:pPr>
        <w:spacing w:after="58"/>
      </w:pPr>
      <w:r>
        <w:rPr>
          <w:b w:val="0"/>
          <w:i w:val="0"/>
        </w:rPr>
        <w:t>Фурункул следует дифференцировать от сибирской язвы, от злока-чественного карбункула, для чего используют бактериологические исследования содержимого очага.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Входными воротами инфекции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протоки больших слюнных желёз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протоки сальных желёз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зубы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протоки малых слюнных желёз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протоки сальных желёз</w:t>
      </w:r>
    </w:p>
    <w:p>
      <w:pPr>
        <w:spacing w:after="58"/>
      </w:pPr>
      <w:r>
        <w:rPr>
          <w:b w:val="0"/>
          <w:i w:val="0"/>
        </w:rPr>
        <w:t>Входные ворота для проникновения инфекции в подкожную основу – протоки сальной железы или волосяная луковица. В развитии воспалительного процесса определённое значение имеют состояние кожного покрова, его резистентность и обсеменённость микробами, наличие в нём воспалительных изменений.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Причиной развития данного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инфекционный процесс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отягощённая наследственность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аутоиммунный процесс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аллергический процесс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инфекционный процесс</w:t>
      </w:r>
    </w:p>
    <w:p>
      <w:pPr>
        <w:spacing w:after="58"/>
      </w:pPr>
      <w:r>
        <w:rPr>
          <w:b w:val="0"/>
          <w:i w:val="0"/>
        </w:rPr>
        <w:t>При фурункуле и карбункуле источником инфекции бывают стрептококки иди стафилококки. среди них золотистый и белый стафилококки.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Осложнением фурункула челюстно-лицевой области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деформация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периостит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сиалоаденит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тромбофлебит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тромбофлебит</w:t>
      </w:r>
    </w:p>
    <w:p>
      <w:pPr>
        <w:spacing w:after="58"/>
      </w:pPr>
      <w:r>
        <w:rPr>
          <w:b w:val="0"/>
          <w:i w:val="0"/>
        </w:rPr>
        <w:t>Прогноз при фурункуле и карбункуле благоприятный, при распространении инфекции и развитии флебита или тромбофлебита в пазухах твёрдой мозговой оболочки и при других осложнениях – серьёзный.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центральной части воспалительного очага формируется участок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аллергической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заместительной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некроза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некроза</w:t>
      </w:r>
    </w:p>
    <w:p>
      <w:pPr>
        <w:spacing w:after="58"/>
      </w:pPr>
      <w:r>
        <w:rPr>
          <w:b w:val="0"/>
          <w:i w:val="0"/>
        </w:rPr>
        <w:t>В центральной части воспалительного очага развивается участок некроза, окружённый зоной гнойного воспаления.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Пациенту необходимо провести лечение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санатории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поликлинике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домашних условиях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стационаре</w:t>
      </w:r>
    </w:p>
    <w:p>
      <w:pPr>
        <w:spacing w:after="58"/>
      </w:pPr>
      <w:r>
        <w:rPr>
          <w:b w:val="0"/>
          <w:i w:val="0"/>
        </w:rPr>
        <w:t>Лечение фурункула и карбункула проводят в условиях стационара.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Разрез при вскрытии фурункула данной локализации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вдоль нижней челюсти, отступив от края 2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нижнему краю инфильтрата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через всю толщу поражённых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верхнему краю инфильтрата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через всю толщу поражённых тканей</w:t>
      </w:r>
    </w:p>
    <w:p>
      <w:pPr>
        <w:spacing w:after="58"/>
      </w:pPr>
      <w:r>
        <w:rPr>
          <w:b w:val="0"/>
          <w:i w:val="0"/>
        </w:rPr>
        <w:t>При фурункуле проводят разрез через всю толщу поражённых тканей, осуществляют некротомию, вскрывают гнойные затёки, делают местный диализ.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Местное лечение фурункула заключается в наложении повязок с раствором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гипертоническим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гипотоническим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перекиси водорода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фурацилина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гипертоническим</w:t>
      </w:r>
    </w:p>
    <w:p>
      <w:pPr>
        <w:spacing w:after="58"/>
      </w:pPr>
      <w:r>
        <w:rPr>
          <w:b w:val="0"/>
          <w:i w:val="0"/>
        </w:rPr>
        <w:t>…а также наложении повязок с гипертоническим раствором натрия хлорида, мазью Вишневского.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часто в качестве возбудителя карбункулов и фурункулов челюстно-лицевой области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Candida albicans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Helicobacter pylori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Staphylococcus aureus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Treponema pallidum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Staphylococcus aureus</w:t>
      </w:r>
    </w:p>
    <w:p>
      <w:pPr>
        <w:spacing w:after="58"/>
      </w:pPr>
      <w:r>
        <w:rPr>
          <w:b w:val="0"/>
          <w:i w:val="0"/>
        </w:rPr>
        <w:t>При фурункуле и карбункуле источником инфекции бывают стрептококки иди стафилококки. Среди них золотистый и белый стафилококки.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Челюстно-лицевая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48731/?anchor=paragraph_713k77#paragraph_713k77" TargetMode="External"/><Relationship Id="rId21" Type="http://schemas.openxmlformats.org/officeDocument/2006/relationships/hyperlink" Target="https://library.mededtech.ru/rest/documents/ISBN9785970448731/?anchor=paragraph_p23uku#paragraph_p23uku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ISBN9785970448731/?anchor=paragraph_4au5uu#paragraph_4au5uu" TargetMode="External"/><Relationship Id="rId24" Type="http://schemas.openxmlformats.org/officeDocument/2006/relationships/hyperlink" Target="https://library.mededtech.ru/rest/documents/ISBN9785970448533/?anchor=paragraph_2b9m7e#paragraph_2b9m7e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ISBN9785970448731/?anchor=paragraph_sij5g7#paragraph_sij5g7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ISBN9785970448731/?anchor=paragraph_95cqcn#paragraph_95cqcn" TargetMode="External"/><Relationship Id="rId29" Type="http://schemas.openxmlformats.org/officeDocument/2006/relationships/hyperlink" Target="https://library.mededtech.ru/rest/documents/ISBN9785970448731/?anchor=paragraph_lg7rpl#paragraph_lg7rpl" TargetMode="External"/><Relationship Id="rId30" Type="http://schemas.openxmlformats.org/officeDocument/2006/relationships/hyperlink" Target="https://library.mededtech.ru/rest/documents/ISBN9785970448533/?anchor=paragraph_k03kbb#paragraph_k03kbb" TargetMode="External"/><Relationship Id="rId31" Type="http://schemas.openxmlformats.org/officeDocument/2006/relationships/hyperlink" Target="https://library.mededtech.ru/rest/documents/ISBN9785970448731/?anchor=paragraph_ik8llh#paragraph_ik8llh" TargetMode="External"/><Relationship Id="rId32" Type="http://schemas.openxmlformats.org/officeDocument/2006/relationships/hyperlink" Target="https://library.mededtech.ru/rest/documents/ISBN9785970448533/?anchor=paragraph_5ts517#paragraph_5ts517" TargetMode="External"/><Relationship Id="rId33" Type="http://schemas.openxmlformats.org/officeDocument/2006/relationships/hyperlink" Target="https://library.mededtech.ru/rest/documents/ISBN9785970448731/?anchor=paragraph_1i3ld5#paragraph_1i3ld5" TargetMode="External"/><Relationship Id="rId34" Type="http://schemas.openxmlformats.org/officeDocument/2006/relationships/hyperlink" Target="https://library.mededtech.ru/rest/documents/ISBN9785970448731/?anchor=paragraph_v34vqs#paragraph_v34vqs" TargetMode="External"/><Relationship Id="rId35" Type="http://schemas.openxmlformats.org/officeDocument/2006/relationships/hyperlink" Target="https://library.mededtech.ru/rest/documents/ISBN9785970448533/?anchor=paragraph_4tb6g9#paragraph_4tb6g9" TargetMode="External"/><Relationship Id="rId36" Type="http://schemas.openxmlformats.org/officeDocument/2006/relationships/hyperlink" Target="https://library.mededtech.ru/rest/documents/ISBN9785970448533/?anchor=paragraph_cvnh2v#paragraph_cvnh2v" TargetMode="External"/><Relationship Id="rId37" Type="http://schemas.openxmlformats.org/officeDocument/2006/relationships/hyperlink" Target="https://library.mededtech.ru/rest/documents/ISBN9785970448533/?anchor=paragraph_knkg5t#paragraph_knkg5t" TargetMode="External"/><Relationship Id="rId38" Type="http://schemas.openxmlformats.org/officeDocument/2006/relationships/hyperlink" Target="https://library.mededtech.ru/rest/documents/ISBN9785970448533/?anchor=paragraph_r5piis#paragraph_r5piis" TargetMode="External"/><Relationship Id="rId39" Type="http://schemas.openxmlformats.org/officeDocument/2006/relationships/hyperlink" Target="https://library.mededtech.ru/rest/documents/ISBN9785970448533/?anchor=paragraph_v69bgu#paragraph_v69bgu" TargetMode="External"/><Relationship Id="rId40" Type="http://schemas.openxmlformats.org/officeDocument/2006/relationships/hyperlink" Target="https://library.mededtech.ru/rest/documents/ISBN9785970448533/?anchor=paragraph_vsmegs#paragraph_vsmegs" TargetMode="External"/><Relationship Id="rId41" Type="http://schemas.openxmlformats.org/officeDocument/2006/relationships/hyperlink" Target="https://library.mededtech.ru/rest/documents/ISBN9785970448533/?anchor=paragraph_u282kg#paragraph_u282kg" TargetMode="External"/><Relationship Id="rId42" Type="http://schemas.openxmlformats.org/officeDocument/2006/relationships/hyperlink" Target="https://library.mededtech.ru/rest/documents/ISBN9785970448533/?anchor=paragraph_3lfmbu#paragraph_3lfmbu" TargetMode="External"/><Relationship Id="rId43" Type="http://schemas.openxmlformats.org/officeDocument/2006/relationships/hyperlink" Target="https://library.mededtech.ru/rest/documents/ISBN9785970448533/?anchor=paragraph_uvvvtu#paragraph_uvvvt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